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3249D" w14:textId="26663254" w:rsidR="00477925" w:rsidRPr="00477925" w:rsidRDefault="00477925" w:rsidP="00477925">
      <w:pPr>
        <w:pStyle w:val="Default"/>
        <w:rPr>
          <w:rFonts w:asciiTheme="majorHAnsi" w:hAnsiTheme="majorHAnsi" w:cstheme="majorHAnsi"/>
          <w:color w:val="0070C0"/>
          <w:sz w:val="32"/>
          <w:szCs w:val="32"/>
          <w:lang w:val="en-US"/>
        </w:rPr>
      </w:pPr>
      <w:r w:rsidRPr="00477925">
        <w:rPr>
          <w:rFonts w:asciiTheme="majorHAnsi" w:hAnsiTheme="majorHAnsi" w:cstheme="majorHAnsi"/>
          <w:color w:val="0070C0"/>
          <w:sz w:val="32"/>
          <w:szCs w:val="32"/>
          <w:lang w:val="en-US"/>
        </w:rPr>
        <w:t xml:space="preserve">Appendix B </w:t>
      </w:r>
    </w:p>
    <w:p w14:paraId="39A58A3F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32"/>
          <w:szCs w:val="32"/>
          <w:lang w:val="en-US"/>
        </w:rPr>
      </w:pPr>
    </w:p>
    <w:p w14:paraId="14B070AE" w14:textId="1EB5628A" w:rsid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QUESTIONS TO AUTHORITIES </w:t>
      </w:r>
    </w:p>
    <w:p w14:paraId="2F91FED5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</w:p>
    <w:p w14:paraId="4FDF8E4A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 acquire precise and specific data to do the Brazilian ABS system assessment, formal requests to the Brazilian authorities were submitted frequently over the years. The enquiries encompass questions like </w:t>
      </w:r>
      <w:r w:rsidRPr="00477925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“what is the most updated data on” </w:t>
      </w:r>
    </w:p>
    <w:p w14:paraId="416D0FA8" w14:textId="77777777" w:rsid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</w:p>
    <w:p w14:paraId="4E6286DF" w14:textId="0EE9FBC9" w:rsidR="00477925" w:rsidRPr="00477925" w:rsidRDefault="00477925" w:rsidP="00477925">
      <w:pPr>
        <w:pStyle w:val="Default"/>
        <w:rPr>
          <w:rFonts w:asciiTheme="majorHAnsi" w:hAnsiTheme="majorHAnsi" w:cstheme="majorHAnsi"/>
          <w:color w:val="0070C0"/>
          <w:lang w:val="en-US"/>
        </w:rPr>
      </w:pPr>
      <w:r w:rsidRPr="00477925">
        <w:rPr>
          <w:rFonts w:asciiTheme="majorHAnsi" w:hAnsiTheme="majorHAnsi" w:cstheme="majorHAnsi"/>
          <w:color w:val="0070C0"/>
          <w:lang w:val="en-US"/>
        </w:rPr>
        <w:t xml:space="preserve">Registrations </w:t>
      </w:r>
    </w:p>
    <w:p w14:paraId="34DCF89F" w14:textId="0FFE7E5F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users registered at SisGen. </w:t>
      </w:r>
    </w:p>
    <w:p w14:paraId="1C3ABCE9" w14:textId="3142A9ED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institutions valid registration at SisGen. </w:t>
      </w:r>
    </w:p>
    <w:p w14:paraId="146E059F" w14:textId="657DB167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Number of registrations in SisGen by purpose: Adequacy; Regularization; New activities </w:t>
      </w:r>
    </w:p>
    <w:p w14:paraId="5BDA6978" w14:textId="220BA120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Terms of Commitment (TC) received by CGen; Total number of TC already signed by MMA; Total number of TC returned to users by MMA with errors/rectification </w:t>
      </w:r>
    </w:p>
    <w:p w14:paraId="650D1016" w14:textId="333100E6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combined number of GH and ATK access activities registered. </w:t>
      </w:r>
    </w:p>
    <w:p w14:paraId="412F009F" w14:textId="79FC3AD6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Number of accessed ATK by origin: unidentified ATK; ATK identified with provider; ATK of secondary source. </w:t>
      </w:r>
    </w:p>
    <w:p w14:paraId="4337AB6E" w14:textId="5C6A284A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access activities registered per modality: Only with GH; With GH + ATK; Only with ATK. </w:t>
      </w:r>
    </w:p>
    <w:p w14:paraId="49B8625E" w14:textId="6F988528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notifications received; Total number of finished product notifications; Total number of reproductive material notifications. </w:t>
      </w:r>
    </w:p>
    <w:p w14:paraId="41A28DF5" w14:textId="49394D69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notifications per BS option: Total notification for monetary BS; Total notification for non-monetary BS; Total notification exempted of BS. </w:t>
      </w:r>
    </w:p>
    <w:p w14:paraId="142CD9BB" w14:textId="365B94FB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registration numbers of access to GH by origin: In situ; Ex-situ - trade; Ex-situ - cultivation/ slaughterhouse; Ex-situ - collections; In silico (DSI); Intermediate product. </w:t>
      </w:r>
    </w:p>
    <w:p w14:paraId="17A999BA" w14:textId="726F20DF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GH registration numbers per biological group: Flora (except algae); Fauna; Microorganisms; Fungi; Algae; Virus; with no identification. </w:t>
      </w:r>
    </w:p>
    <w:p w14:paraId="607B3049" w14:textId="2C4CF3FD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registered activities that comply with the verification step by CGen; the number of activities effectively verified and approved by CGen; the number of activities not approved in the verification procedure and the number of activities automatically approved by CGen after deadline expiration time over the verification procedure. </w:t>
      </w:r>
    </w:p>
    <w:p w14:paraId="70F857CD" w14:textId="1F38F6D2" w:rsidR="00477925" w:rsidRPr="00477925" w:rsidRDefault="00477925" w:rsidP="00477925">
      <w:pPr>
        <w:pStyle w:val="Default"/>
        <w:numPr>
          <w:ilvl w:val="0"/>
          <w:numId w:val="1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prior authorizations (PIC) for access to identified source ATK granted by providers to users. </w:t>
      </w:r>
    </w:p>
    <w:p w14:paraId="024D5A46" w14:textId="67619BD2" w:rsidR="00477925" w:rsidRPr="00477925" w:rsidRDefault="00477925" w:rsidP="00477925">
      <w:pPr>
        <w:pStyle w:val="Default"/>
        <w:numPr>
          <w:ilvl w:val="0"/>
          <w:numId w:val="1"/>
        </w:numPr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Prior Authorization/Consent Numbers: Total number of applications for prior authorizations/ registration /requested consents; Total number of prior commitments/consents granted; Total number of prior commitments/non-granted commitments. </w:t>
      </w:r>
    </w:p>
    <w:p w14:paraId="6C8CDA36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</w:p>
    <w:p w14:paraId="729C3EF4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color w:val="0070C0"/>
          <w:lang w:val="en-US"/>
        </w:rPr>
      </w:pPr>
      <w:r w:rsidRPr="00477925">
        <w:rPr>
          <w:rFonts w:asciiTheme="majorHAnsi" w:hAnsiTheme="majorHAnsi" w:cstheme="majorHAnsi"/>
          <w:color w:val="0070C0"/>
          <w:lang w:val="en-US"/>
        </w:rPr>
        <w:t xml:space="preserve">Monetary and non-monetary benefit-sharing </w:t>
      </w:r>
    </w:p>
    <w:p w14:paraId="6F2818CA" w14:textId="4EEC2842" w:rsidR="00477925" w:rsidRPr="00477925" w:rsidRDefault="00477925" w:rsidP="00477925">
      <w:pPr>
        <w:pStyle w:val="Default"/>
        <w:numPr>
          <w:ilvl w:val="0"/>
          <w:numId w:val="2"/>
        </w:numPr>
        <w:spacing w:after="50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Overall value of invoices (GRUs in Portuguese) already issued by BNDES under the title of "Monetary BS" to users. </w:t>
      </w:r>
    </w:p>
    <w:p w14:paraId="704BEADA" w14:textId="54D1564D" w:rsidR="00477925" w:rsidRPr="00477925" w:rsidRDefault="00477925" w:rsidP="00477925">
      <w:pPr>
        <w:pStyle w:val="Default"/>
        <w:numPr>
          <w:ilvl w:val="0"/>
          <w:numId w:val="2"/>
        </w:numPr>
        <w:spacing w:after="50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number of individual users who paid Monetary BS. </w:t>
      </w:r>
    </w:p>
    <w:p w14:paraId="2B7D9592" w14:textId="7DE89824" w:rsidR="00477925" w:rsidRPr="00477925" w:rsidRDefault="00477925" w:rsidP="00477925">
      <w:pPr>
        <w:pStyle w:val="Default"/>
        <w:numPr>
          <w:ilvl w:val="0"/>
          <w:numId w:val="2"/>
        </w:numPr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amount paid by users under the heading of "Monetary BS" for only the fiscal year 20xx. </w:t>
      </w:r>
    </w:p>
    <w:p w14:paraId="0BDFDCEE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</w:p>
    <w:p w14:paraId="262B569A" w14:textId="77777777" w:rsidR="00477925" w:rsidRPr="00477925" w:rsidRDefault="00477925" w:rsidP="00477925">
      <w:pPr>
        <w:pStyle w:val="Default"/>
        <w:pageBreakBefore/>
        <w:rPr>
          <w:rFonts w:asciiTheme="majorHAnsi" w:hAnsiTheme="majorHAnsi" w:cstheme="majorHAnsi"/>
          <w:sz w:val="22"/>
          <w:szCs w:val="22"/>
          <w:lang w:val="en-US"/>
        </w:rPr>
      </w:pPr>
    </w:p>
    <w:p w14:paraId="67A61800" w14:textId="5F21AAEA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balance of monetary resources paid by users to the BSNF to date. </w:t>
      </w:r>
    </w:p>
    <w:p w14:paraId="69F3B1D5" w14:textId="29A6CD5E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amount of monetary BS already added in the BSNF, by its origins as: BS from adequacy activities; BS from regularization activities (with signed Term of Commitment) in; BS of new registered activities. </w:t>
      </w:r>
    </w:p>
    <w:p w14:paraId="44FA1F8E" w14:textId="7F215A5F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amount already received by the BSNF by source of revenue (Art. 96 of Decree 8,772/2016), as: Appropriations in the annual budget law and its additional credits; Donations; Amounts collected with the payment of administrative fines applied due to non-compliance with Law 13.123/2015. </w:t>
      </w:r>
    </w:p>
    <w:p w14:paraId="4A9968FF" w14:textId="3D94FCCD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Financial resources of external origin arising from contracts, agreements, or agreements specially reserved for the purposes of the Fund; Contributions made by GH and ATK users to the PNBS; Other revenues. </w:t>
      </w:r>
    </w:p>
    <w:p w14:paraId="7A5DD361" w14:textId="17B31BEB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Projects and investments developed with FNBS resources: Total number of projects submitted to receive BSNF resources; Total of cumulative equivalent value of these projects; Total of projects which received BSNF resources contribution; Total amount of BS invested by the BSNF in projects. </w:t>
      </w:r>
    </w:p>
    <w:p w14:paraId="7C831AC8" w14:textId="4D42B8DF" w:rsidR="00477925" w:rsidRPr="00477925" w:rsidRDefault="00477925" w:rsidP="00477925">
      <w:pPr>
        <w:pStyle w:val="Default"/>
        <w:numPr>
          <w:ilvl w:val="0"/>
          <w:numId w:val="2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Value of "Non-Monetary BS" – Agreement between users and the Union: Total number of Non-Monetary-BS agreements with the Union received; Total number of Non-Monetary-BS agreements signed with the Union; Total of the equivalent value (R$) of Non-Monetary-BS agreements signed between users and the Union; Total of the equivalent value (R$) of Non-Monetary-BS agreements between users and the Union invested in projects. </w:t>
      </w:r>
    </w:p>
    <w:p w14:paraId="4CA7763F" w14:textId="13BB2D30" w:rsidR="00477925" w:rsidRPr="00477925" w:rsidRDefault="00477925" w:rsidP="00477925">
      <w:pPr>
        <w:pStyle w:val="Default"/>
        <w:numPr>
          <w:ilvl w:val="0"/>
          <w:numId w:val="2"/>
        </w:numPr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Value of "Non-Monetary BS" – Agreement between users and the Traditional Providers/Communities (ATK); Total number of Non-Monetary-BS agreements with ATK Providers received by the MMA; Total number of Non-Monetary-BS agreements already signed between users and ATK; Total of the equivalent value (R$) of Non-Monetary-BS agreements between users and the ATK Providers already invested into projects </w:t>
      </w:r>
    </w:p>
    <w:p w14:paraId="4F703803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sz w:val="22"/>
          <w:szCs w:val="22"/>
          <w:lang w:val="en-US"/>
        </w:rPr>
      </w:pPr>
    </w:p>
    <w:p w14:paraId="1F219EDD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color w:val="0070C0"/>
          <w:lang w:val="en-US"/>
        </w:rPr>
      </w:pPr>
      <w:r w:rsidRPr="00477925">
        <w:rPr>
          <w:rFonts w:asciiTheme="majorHAnsi" w:hAnsiTheme="majorHAnsi" w:cstheme="majorHAnsi"/>
          <w:color w:val="0070C0"/>
          <w:lang w:val="en-US"/>
        </w:rPr>
        <w:t xml:space="preserve">Operation cost of ABS policy </w:t>
      </w:r>
    </w:p>
    <w:p w14:paraId="67D83A9B" w14:textId="39E39803" w:rsidR="00477925" w:rsidRPr="00477925" w:rsidRDefault="00477925" w:rsidP="00477925">
      <w:pPr>
        <w:pStyle w:val="Default"/>
        <w:numPr>
          <w:ilvl w:val="0"/>
          <w:numId w:val="3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Composition, by positions and number of employees, of the current Genetic Heritage Department (DGH) team of MMA </w:t>
      </w:r>
    </w:p>
    <w:p w14:paraId="6D4D4098" w14:textId="6B4B7A36" w:rsidR="00477925" w:rsidRPr="00477925" w:rsidRDefault="00477925" w:rsidP="00477925">
      <w:pPr>
        <w:pStyle w:val="Default"/>
        <w:numPr>
          <w:ilvl w:val="0"/>
          <w:numId w:val="3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personnel expenses (salaries) of the DGH teams for the periods 20xx to 20xx in R$ </w:t>
      </w:r>
    </w:p>
    <w:p w14:paraId="47B403D3" w14:textId="499C62A0" w:rsidR="00477925" w:rsidRPr="00477925" w:rsidRDefault="00477925" w:rsidP="00477925">
      <w:pPr>
        <w:pStyle w:val="Default"/>
        <w:numPr>
          <w:ilvl w:val="0"/>
          <w:numId w:val="3"/>
        </w:numPr>
        <w:spacing w:after="51"/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additional expenses with travel, meetings, training, and other expenses related to CGen activities [daily servers; daily board members; national and international passages and stenotype] of DGH teams and board members for the periods 20xx to 20xx in R$ </w:t>
      </w:r>
    </w:p>
    <w:p w14:paraId="60039230" w14:textId="0F807B74" w:rsidR="00477925" w:rsidRPr="00477925" w:rsidRDefault="00477925" w:rsidP="00477925">
      <w:pPr>
        <w:pStyle w:val="Default"/>
        <w:numPr>
          <w:ilvl w:val="0"/>
          <w:numId w:val="3"/>
        </w:numPr>
        <w:rPr>
          <w:rFonts w:asciiTheme="majorHAnsi" w:hAnsiTheme="majorHAnsi" w:cstheme="majorHAnsi"/>
          <w:sz w:val="22"/>
          <w:szCs w:val="22"/>
          <w:lang w:val="en-US"/>
        </w:rPr>
      </w:pPr>
      <w:r w:rsidRPr="00477925">
        <w:rPr>
          <w:rFonts w:asciiTheme="majorHAnsi" w:hAnsiTheme="majorHAnsi" w:cstheme="majorHAnsi"/>
          <w:sz w:val="22"/>
          <w:szCs w:val="22"/>
          <w:lang w:val="en-US"/>
        </w:rPr>
        <w:t xml:space="preserve">Total amount of SisGen and SisGen-Research software development contracts </w:t>
      </w:r>
    </w:p>
    <w:p w14:paraId="6E172570" w14:textId="77777777" w:rsidR="00477925" w:rsidRPr="00477925" w:rsidRDefault="00477925" w:rsidP="00477925">
      <w:pPr>
        <w:pStyle w:val="Default"/>
        <w:rPr>
          <w:rFonts w:asciiTheme="majorHAnsi" w:hAnsiTheme="majorHAnsi" w:cstheme="majorHAnsi"/>
          <w:lang w:val="en-US"/>
        </w:rPr>
      </w:pPr>
    </w:p>
    <w:sectPr w:rsidR="00477925" w:rsidRPr="00477925" w:rsidSect="009B1FC9">
      <w:footerReference w:type="default" r:id="rId7"/>
      <w:pgSz w:w="11906" w:h="17338"/>
      <w:pgMar w:top="1864" w:right="1379" w:bottom="1417" w:left="15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A9E7E" w14:textId="77777777" w:rsidR="00365535" w:rsidRDefault="00365535" w:rsidP="00477925">
      <w:pPr>
        <w:spacing w:after="0" w:line="240" w:lineRule="auto"/>
      </w:pPr>
      <w:r>
        <w:separator/>
      </w:r>
    </w:p>
  </w:endnote>
  <w:endnote w:type="continuationSeparator" w:id="0">
    <w:p w14:paraId="6B12527D" w14:textId="77777777" w:rsidR="00365535" w:rsidRDefault="00365535" w:rsidP="0047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8043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3F0005" w14:textId="3DF7749D" w:rsidR="00477925" w:rsidRDefault="00477925">
        <w:pPr>
          <w:pStyle w:val="Footer"/>
          <w:jc w:val="center"/>
        </w:pPr>
        <w:r w:rsidRPr="00477925">
          <w:rPr>
            <w:color w:val="0070C0"/>
          </w:rPr>
          <w:fldChar w:fldCharType="begin"/>
        </w:r>
        <w:r w:rsidRPr="00477925">
          <w:rPr>
            <w:color w:val="0070C0"/>
          </w:rPr>
          <w:instrText xml:space="preserve"> PAGE   \* MERGEFORMAT </w:instrText>
        </w:r>
        <w:r w:rsidRPr="00477925">
          <w:rPr>
            <w:color w:val="0070C0"/>
          </w:rPr>
          <w:fldChar w:fldCharType="separate"/>
        </w:r>
        <w:r w:rsidRPr="00477925">
          <w:rPr>
            <w:noProof/>
            <w:color w:val="0070C0"/>
          </w:rPr>
          <w:t>2</w:t>
        </w:r>
        <w:r w:rsidRPr="00477925">
          <w:rPr>
            <w:noProof/>
            <w:color w:val="0070C0"/>
          </w:rPr>
          <w:fldChar w:fldCharType="end"/>
        </w:r>
        <w:r w:rsidRPr="00477925">
          <w:rPr>
            <w:noProof/>
            <w:color w:val="0070C0"/>
          </w:rPr>
          <w:t>/2</w:t>
        </w:r>
      </w:p>
    </w:sdtContent>
  </w:sdt>
  <w:p w14:paraId="65485917" w14:textId="77777777" w:rsidR="00477925" w:rsidRDefault="00477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C2F95" w14:textId="77777777" w:rsidR="00365535" w:rsidRDefault="00365535" w:rsidP="00477925">
      <w:pPr>
        <w:spacing w:after="0" w:line="240" w:lineRule="auto"/>
      </w:pPr>
      <w:r>
        <w:separator/>
      </w:r>
    </w:p>
  </w:footnote>
  <w:footnote w:type="continuationSeparator" w:id="0">
    <w:p w14:paraId="34712D2B" w14:textId="77777777" w:rsidR="00365535" w:rsidRDefault="00365535" w:rsidP="00477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1D3"/>
    <w:multiLevelType w:val="hybridMultilevel"/>
    <w:tmpl w:val="BDE46806"/>
    <w:lvl w:ilvl="0" w:tplc="14541A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7C7F"/>
    <w:multiLevelType w:val="hybridMultilevel"/>
    <w:tmpl w:val="C2AE0BEE"/>
    <w:lvl w:ilvl="0" w:tplc="14541A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62577"/>
    <w:multiLevelType w:val="hybridMultilevel"/>
    <w:tmpl w:val="F112C7E8"/>
    <w:lvl w:ilvl="0" w:tplc="14541A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132784">
    <w:abstractNumId w:val="0"/>
  </w:num>
  <w:num w:numId="2" w16cid:durableId="906502633">
    <w:abstractNumId w:val="2"/>
  </w:num>
  <w:num w:numId="3" w16cid:durableId="1691027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925"/>
    <w:rsid w:val="00365535"/>
    <w:rsid w:val="00477925"/>
    <w:rsid w:val="00F7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0A08"/>
  <w15:chartTrackingRefBased/>
  <w15:docId w15:val="{C5A774D2-23D2-4545-A9BE-2CFB4CFF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779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79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925"/>
  </w:style>
  <w:style w:type="paragraph" w:styleId="Footer">
    <w:name w:val="footer"/>
    <w:basedOn w:val="Normal"/>
    <w:link w:val="FooterChar"/>
    <w:uiPriority w:val="99"/>
    <w:unhideWhenUsed/>
    <w:rsid w:val="004779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784</Words>
  <Characters>4237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Jungmann</dc:creator>
  <cp:keywords/>
  <dc:description/>
  <cp:lastModifiedBy>Diana Jungmann</cp:lastModifiedBy>
  <cp:revision>1</cp:revision>
  <dcterms:created xsi:type="dcterms:W3CDTF">2022-11-28T02:50:00Z</dcterms:created>
  <dcterms:modified xsi:type="dcterms:W3CDTF">2022-11-28T02:56:00Z</dcterms:modified>
</cp:coreProperties>
</file>